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5B0CE3" w:rsidRPr="005B0CE3" w:rsidRDefault="00AE4043" w:rsidP="005B0CE3">
      <w:pPr>
        <w:autoSpaceDE w:val="0"/>
        <w:autoSpaceDN w:val="0"/>
        <w:adjustRightInd w:val="0"/>
        <w:jc w:val="both"/>
        <w:rPr>
          <w:rFonts w:cs="Arial"/>
          <w:b/>
          <w:szCs w:val="22"/>
          <w:u w:val="single"/>
        </w:rPr>
      </w:pPr>
      <w:r>
        <w:rPr>
          <w:rFonts w:cs="Arial"/>
          <w:b/>
          <w:szCs w:val="22"/>
          <w:u w:val="single"/>
        </w:rPr>
        <w:t>Anlage 6</w:t>
      </w:r>
    </w:p>
    <w:p w:rsidR="005B0CE3" w:rsidRPr="005B0CE3" w:rsidRDefault="005B0CE3" w:rsidP="005B0CE3">
      <w:pPr>
        <w:autoSpaceDE w:val="0"/>
        <w:autoSpaceDN w:val="0"/>
        <w:adjustRightInd w:val="0"/>
        <w:jc w:val="both"/>
        <w:rPr>
          <w:rFonts w:cs="Arial"/>
          <w:b/>
          <w:szCs w:val="22"/>
        </w:rPr>
      </w:pPr>
    </w:p>
    <w:p w:rsidR="00B71A66" w:rsidRPr="00B71A66" w:rsidRDefault="00B71A66" w:rsidP="00B71A66">
      <w:pPr>
        <w:autoSpaceDE w:val="0"/>
        <w:autoSpaceDN w:val="0"/>
        <w:adjustRightInd w:val="0"/>
        <w:jc w:val="both"/>
        <w:rPr>
          <w:rFonts w:cs="Arial"/>
          <w:b/>
          <w:szCs w:val="22"/>
        </w:rPr>
      </w:pPr>
      <w:r w:rsidRPr="00B71A66">
        <w:rPr>
          <w:rFonts w:cs="Arial"/>
          <w:b/>
          <w:i/>
          <w:szCs w:val="22"/>
        </w:rPr>
        <w:t>Praxis Datenschutz</w:t>
      </w:r>
      <w:r w:rsidRPr="00B71A66">
        <w:rPr>
          <w:rFonts w:cs="Arial"/>
          <w:szCs w:val="22"/>
        </w:rPr>
        <w:t xml:space="preserve"> </w:t>
      </w:r>
      <w:r w:rsidR="00A63EB9" w:rsidRPr="00A63EB9">
        <w:rPr>
          <w:rFonts w:cs="Arial"/>
          <w:b/>
          <w:szCs w:val="22"/>
        </w:rPr>
        <w:t>Rechtmäßige Datenverarbeitung von Beschäftigten</w:t>
      </w:r>
      <w:bookmarkStart w:id="0" w:name="_GoBack"/>
      <w:bookmarkEnd w:id="0"/>
    </w:p>
    <w:p w:rsidR="005B0CE3" w:rsidRPr="005B0CE3" w:rsidRDefault="005B0CE3" w:rsidP="005B0CE3">
      <w:pPr>
        <w:autoSpaceDE w:val="0"/>
        <w:autoSpaceDN w:val="0"/>
        <w:adjustRightInd w:val="0"/>
        <w:jc w:val="both"/>
        <w:rPr>
          <w:rFonts w:cs="Arial"/>
          <w:sz w:val="22"/>
          <w:szCs w:val="22"/>
        </w:rPr>
      </w:pPr>
    </w:p>
    <w:p w:rsidR="005B0CE3" w:rsidRPr="005B0CE3" w:rsidRDefault="005B0CE3" w:rsidP="005B0CE3">
      <w:pPr>
        <w:autoSpaceDE w:val="0"/>
        <w:autoSpaceDN w:val="0"/>
        <w:adjustRightInd w:val="0"/>
        <w:jc w:val="center"/>
        <w:rPr>
          <w:rFonts w:cs="Arial"/>
          <w:b/>
          <w:sz w:val="28"/>
          <w:szCs w:val="22"/>
        </w:rPr>
      </w:pPr>
    </w:p>
    <w:p w:rsidR="005B0CE3" w:rsidRPr="005B0CE3" w:rsidRDefault="005B0CE3" w:rsidP="005B0CE3">
      <w:pPr>
        <w:autoSpaceDE w:val="0"/>
        <w:autoSpaceDN w:val="0"/>
        <w:adjustRightInd w:val="0"/>
        <w:jc w:val="center"/>
        <w:rPr>
          <w:rFonts w:cs="Arial"/>
          <w:b/>
          <w:sz w:val="28"/>
          <w:szCs w:val="22"/>
        </w:rPr>
      </w:pPr>
      <w:r w:rsidRPr="005B0CE3">
        <w:rPr>
          <w:rFonts w:cs="Arial"/>
          <w:b/>
          <w:sz w:val="28"/>
          <w:szCs w:val="22"/>
        </w:rPr>
        <w:t xml:space="preserve">Muster </w:t>
      </w:r>
    </w:p>
    <w:p w:rsidR="005B0CE3" w:rsidRPr="005B0CE3" w:rsidRDefault="005B0CE3" w:rsidP="00B71A66">
      <w:pPr>
        <w:autoSpaceDE w:val="0"/>
        <w:autoSpaceDN w:val="0"/>
        <w:adjustRightInd w:val="0"/>
        <w:ind w:left="284"/>
        <w:jc w:val="both"/>
        <w:rPr>
          <w:rFonts w:cs="Arial"/>
          <w:sz w:val="22"/>
          <w:szCs w:val="22"/>
        </w:rPr>
      </w:pPr>
    </w:p>
    <w:p w:rsidR="00AE4043" w:rsidRPr="00AE4043" w:rsidRDefault="00AE4043" w:rsidP="00AE4043">
      <w:pPr>
        <w:jc w:val="both"/>
        <w:rPr>
          <w:rFonts w:cs="Arial"/>
          <w:b/>
          <w:szCs w:val="24"/>
        </w:rPr>
      </w:pPr>
      <w:r w:rsidRPr="00AE4043">
        <w:rPr>
          <w:rFonts w:cs="Arial"/>
          <w:b/>
          <w:bCs/>
          <w:szCs w:val="24"/>
        </w:rPr>
        <w:t>Verpflichtung zur Wahrung der Vertraulichkeit</w:t>
      </w:r>
      <w:r w:rsidRPr="00AE4043">
        <w:rPr>
          <w:rFonts w:cs="Arial"/>
          <w:b/>
          <w:szCs w:val="24"/>
        </w:rPr>
        <w:t xml:space="preserve"> </w:t>
      </w:r>
      <w:r w:rsidRPr="00AE4043">
        <w:rPr>
          <w:rFonts w:cs="Arial"/>
          <w:b/>
          <w:bCs/>
          <w:szCs w:val="24"/>
        </w:rPr>
        <w:t>bei der Verarbeitung personenbezogener Daten</w:t>
      </w:r>
    </w:p>
    <w:p w:rsidR="00AE4043" w:rsidRDefault="00AE4043" w:rsidP="00AE4043">
      <w:pPr>
        <w:jc w:val="both"/>
        <w:rPr>
          <w:rFonts w:cs="Arial"/>
          <w:szCs w:val="24"/>
        </w:rPr>
      </w:pPr>
    </w:p>
    <w:p w:rsidR="00C3250E" w:rsidRDefault="00C3250E" w:rsidP="00AE4043">
      <w:pPr>
        <w:jc w:val="both"/>
        <w:rPr>
          <w:rFonts w:cs="Arial"/>
          <w:szCs w:val="24"/>
        </w:rPr>
      </w:pPr>
    </w:p>
    <w:p w:rsidR="00C3250E" w:rsidRPr="00AE4043" w:rsidRDefault="00C3250E" w:rsidP="00AE4043">
      <w:pPr>
        <w:jc w:val="both"/>
        <w:rPr>
          <w:rFonts w:cs="Arial"/>
          <w:szCs w:val="24"/>
        </w:rPr>
      </w:pP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Sehr geehrter Herr/Frau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aufgrund Ihrer Aufgabenstellung sind Sie verpflichtet, die Vertraulichkeit personenbezogener Daten nach Art. 5 Abs. 1 f, Art. 32 Abs. 4 Datenschutz-Grundverordnung (DSGVO), zu denen Sie im Rahmen Ihrer Tätigkeit Zugang erhalten oder über die Sie Kenntnis erlangen, zu wahren. Es ist Ihnen untersagt, unbefugt personenbezogene Daten zu verarbeiten. Diese Verpflichtung besteht nach Beendigung Ihrer Tätigkeit fort.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Verstöße gegen die Vertraulichkeit können nach Art. 83 Abs. 4 DSGVO, §§ 42, 43 Bundesdatenschutzgesetz (BDSG) sowie nach anderen Strafvorschriften (siehe Anlage) mit Freiheits- oder Geldstrafe geahndet werden. Die Verletzung der Vertraulichkeit kann zugleich eine Verletzung arbeits- oder dienstrechtlicher Schweigepflichten begründen.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Eine unterschriebene Zweitschrift dieses Schreibens reichen Sie bitte an die Personalabteilung zurück. </w:t>
      </w:r>
    </w:p>
    <w:p w:rsidR="00AE4043" w:rsidRPr="00AE4043" w:rsidRDefault="00AE4043" w:rsidP="00AE4043">
      <w:pPr>
        <w:jc w:val="both"/>
        <w:rPr>
          <w:rFonts w:cs="Arial"/>
          <w:szCs w:val="24"/>
        </w:rPr>
      </w:pPr>
      <w:r w:rsidRPr="00AE4043">
        <w:rPr>
          <w:rFonts w:cs="Arial"/>
          <w:szCs w:val="24"/>
        </w:rPr>
        <w:t>Wir bitten Sie, uns auf der Zweitschrift dieses Schreibens Ihre Verpflichtung zu bestätigen.</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Mit freundlichen Grüßen</w:t>
      </w:r>
    </w:p>
    <w:p w:rsidR="00AE4043" w:rsidRPr="00AE4043" w:rsidRDefault="00AE4043" w:rsidP="00AE4043">
      <w:pPr>
        <w:jc w:val="both"/>
        <w:rPr>
          <w:rFonts w:cs="Arial"/>
          <w:szCs w:val="24"/>
        </w:rPr>
      </w:pPr>
    </w:p>
    <w:p w:rsidR="00AE4043" w:rsidRDefault="00AE4043" w:rsidP="00AE4043">
      <w:pPr>
        <w:jc w:val="both"/>
        <w:rPr>
          <w:rFonts w:cs="Arial"/>
          <w:szCs w:val="24"/>
        </w:rPr>
      </w:pPr>
    </w:p>
    <w:p w:rsidR="00C3250E" w:rsidRPr="00AE4043" w:rsidRDefault="00C3250E" w:rsidP="00AE4043">
      <w:pPr>
        <w:jc w:val="both"/>
        <w:rPr>
          <w:rFonts w:cs="Arial"/>
          <w:szCs w:val="24"/>
        </w:rPr>
      </w:pPr>
    </w:p>
    <w:p w:rsidR="00AE4043" w:rsidRPr="00AE4043" w:rsidRDefault="00AE4043" w:rsidP="00AE4043">
      <w:pPr>
        <w:jc w:val="both"/>
        <w:rPr>
          <w:rFonts w:cs="Arial"/>
          <w:szCs w:val="24"/>
        </w:rPr>
      </w:pPr>
      <w:r w:rsidRPr="00AE4043">
        <w:rPr>
          <w:rFonts w:cs="Arial"/>
          <w:szCs w:val="24"/>
        </w:rPr>
        <w:t>…………………………</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Über die Verpflichtung auf das Datengeheimnis und die sich daraus ergebenen Verhaltensweisen wurde ich unterrichtet. Das Merkblatt zur Verpflichtungserklärung habe ich erhalten.</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w:t>
      </w:r>
      <w:r w:rsidRPr="00AE4043">
        <w:rPr>
          <w:rFonts w:cs="Arial"/>
          <w:szCs w:val="24"/>
        </w:rPr>
        <w:tab/>
      </w:r>
      <w:r w:rsidRPr="00AE4043">
        <w:rPr>
          <w:rFonts w:cs="Arial"/>
          <w:szCs w:val="24"/>
        </w:rPr>
        <w:tab/>
        <w:t>………..…………………..</w:t>
      </w:r>
    </w:p>
    <w:p w:rsidR="00AE4043" w:rsidRPr="00AE4043" w:rsidRDefault="00AE4043" w:rsidP="00AE4043">
      <w:pPr>
        <w:autoSpaceDE w:val="0"/>
        <w:autoSpaceDN w:val="0"/>
        <w:adjustRightInd w:val="0"/>
        <w:spacing w:before="100" w:beforeAutospacing="1" w:after="100" w:afterAutospacing="1"/>
        <w:rPr>
          <w:rFonts w:eastAsia="Calibri" w:cs="Arial"/>
          <w:iCs/>
          <w:color w:val="000000"/>
          <w:szCs w:val="24"/>
          <w:lang w:eastAsia="en-US"/>
        </w:rPr>
      </w:pPr>
      <w:r w:rsidRPr="00AE4043">
        <w:rPr>
          <w:rFonts w:cs="Arial"/>
          <w:szCs w:val="24"/>
        </w:rPr>
        <w:tab/>
        <w:t>Datum</w:t>
      </w:r>
      <w:r w:rsidRPr="00AE4043">
        <w:rPr>
          <w:rFonts w:cs="Arial"/>
          <w:szCs w:val="24"/>
        </w:rPr>
        <w:tab/>
      </w:r>
    </w:p>
    <w:p w:rsidR="00AE4043" w:rsidRPr="00AE4043" w:rsidRDefault="00AE4043" w:rsidP="00AE4043">
      <w:pPr>
        <w:pageBreakBefore/>
        <w:autoSpaceDE w:val="0"/>
        <w:autoSpaceDN w:val="0"/>
        <w:adjustRightInd w:val="0"/>
        <w:spacing w:before="100" w:beforeAutospacing="1" w:after="100" w:afterAutospacing="1"/>
        <w:rPr>
          <w:rFonts w:eastAsia="Calibri" w:cs="Arial"/>
          <w:b/>
          <w:color w:val="000000"/>
          <w:szCs w:val="24"/>
          <w:lang w:eastAsia="en-US"/>
        </w:rPr>
      </w:pPr>
      <w:r w:rsidRPr="00AE4043">
        <w:rPr>
          <w:rFonts w:eastAsia="Calibri" w:cs="Arial"/>
          <w:b/>
          <w:color w:val="000000"/>
          <w:szCs w:val="24"/>
          <w:lang w:eastAsia="en-US"/>
        </w:rPr>
        <w:lastRenderedPageBreak/>
        <w:t xml:space="preserve">Rechtliche Grundlagen </w:t>
      </w:r>
    </w:p>
    <w:p w:rsidR="00AE4043" w:rsidRPr="00AE4043" w:rsidRDefault="00AE4043" w:rsidP="00AE4043">
      <w:pPr>
        <w:autoSpaceDE w:val="0"/>
        <w:autoSpaceDN w:val="0"/>
        <w:adjustRightInd w:val="0"/>
        <w:spacing w:before="100" w:beforeAutospacing="1" w:after="100" w:afterAutospacing="1"/>
        <w:rPr>
          <w:rFonts w:eastAsia="Calibri" w:cs="Arial"/>
          <w:color w:val="000000"/>
          <w:szCs w:val="24"/>
          <w:lang w:eastAsia="en-US"/>
        </w:rPr>
      </w:pPr>
      <w:r w:rsidRPr="00AE4043">
        <w:rPr>
          <w:rFonts w:eastAsia="Calibri" w:cs="Arial"/>
          <w:b/>
          <w:bCs/>
          <w:color w:val="000000"/>
          <w:szCs w:val="24"/>
          <w:lang w:eastAsia="en-US"/>
        </w:rPr>
        <w:t xml:space="preserve">Artikel 5 DSGVO </w:t>
      </w: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(1) Personenbezogene Daten müssen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auf rechtmäßige Weise, nach Treu und Glauben und in einer für die betroffene Person nachvollziehbaren Weise verarbeitet werden („Rechtmäßigkeit, Verarbeitung nach Treu und Glauben, Transparenz“); </w:t>
      </w:r>
    </w:p>
    <w:p w:rsidR="00AE4043" w:rsidRPr="00AE4043" w:rsidRDefault="00AE4043" w:rsidP="00AE4043">
      <w:pPr>
        <w:autoSpaceDE w:val="0"/>
        <w:autoSpaceDN w:val="0"/>
        <w:adjustRightInd w:val="0"/>
        <w:ind w:left="567"/>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dem Zweck angemessen und erheblich sowie auf das für die Zwecke der Verarbeitung notwendige Maß beschränkt sein („Datenminimierung“);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4.5.2016 L 119/35 Amtsblatt der Europäischen Union DE (1)Richtlinie (EU) 2015/1535 des Europäischen Parlaments und des Rates vom 9. September 2015 über ein Informationsverfahren auf dem Gebiet der technischen Vorschriften und der Vorschriften für die Dienste der Informationsgesellschaft (ABl. L 241 vom 17.9.2015, S. 1).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in einer Weise verarbeitet werden, die eine angemessene Sicherheit der personenbezogenen Daten gewährleistet, einschließlich Schutz vor unbefugter </w:t>
      </w:r>
      <w:r w:rsidRPr="00AE4043">
        <w:rPr>
          <w:rFonts w:eastAsia="Calibri" w:cs="Arial"/>
          <w:color w:val="000000"/>
          <w:szCs w:val="24"/>
          <w:lang w:eastAsia="en-US"/>
        </w:rPr>
        <w:lastRenderedPageBreak/>
        <w:t xml:space="preserve">oder unrechtmäßiger Verarbeitung und vor unbeabsichtigtem Verlust, unbeabsichtigter Zerstörung oder unbeabsichtigter Schädigung durch geeignete technische und organisatorische Maßnahmen („Integrität und Vertraulichkeit“); </w:t>
      </w: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Art. 32 Abs. 4 DSGVO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Art. 83 Abs. 4 DS-GVO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Verantwortlichen und der Auftragsverarbeiter gemäß den Artikeln 8, 11, 25 bis 39, 42 und 43; </w:t>
      </w:r>
    </w:p>
    <w:p w:rsidR="00AE4043" w:rsidRPr="00AE4043" w:rsidRDefault="00AE4043" w:rsidP="00AE4043">
      <w:pPr>
        <w:autoSpaceDE w:val="0"/>
        <w:autoSpaceDN w:val="0"/>
        <w:adjustRightInd w:val="0"/>
        <w:ind w:left="567"/>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Zertifizierungsstelle gemäß den Artikeln 42 und 43;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Überwachungsstelle gemäß Artikel 41 Absatz 4. </w:t>
      </w:r>
    </w:p>
    <w:p w:rsidR="00AE4043" w:rsidRPr="00AE4043" w:rsidRDefault="00AE4043" w:rsidP="00AE4043">
      <w:pPr>
        <w:spacing w:after="160" w:line="259" w:lineRule="auto"/>
        <w:rPr>
          <w:rFonts w:eastAsia="Calibri" w:cs="Arial"/>
          <w:b/>
          <w:bCs/>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42 BDSG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Mit Freiheitsstrafe bis zu drei Jahren oder mit Geldstrafe wird bestraft, wer wissentlich nicht allgemein zugängliche personenbezogene Daten einer großen Zahl von Personen, ohne hierzu berechtigt zu sein,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tabs>
          <w:tab w:val="center" w:pos="4678"/>
        </w:tabs>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einem Dritten übermittelt oder </w:t>
      </w:r>
    </w:p>
    <w:p w:rsidR="00AE4043" w:rsidRPr="00AE4043" w:rsidRDefault="00AE4043" w:rsidP="00AE4043">
      <w:pPr>
        <w:tabs>
          <w:tab w:val="center" w:pos="4678"/>
        </w:tabs>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auf andere Art und Weise zugänglich macht und hierbei gewerbsmäßig handelt.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Mit Freiheitsstrafe bis zu zwei Jahren oder mit Geldstrafe wird bestraft, wer personenbezogene Daten, die nicht allgemein zugänglich sind,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ohne hierzu berechtigt zu sein, verarbeitet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 xml:space="preserve">2. durch unrichtige Angaben erschleicht und hierbei gegen Entgelt oder in der Absicht handelt, sich oder einen anderen zu bereichern oder einen anderen zu schädigen.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Die Tat wird nur auf Antrag verfolgt. Antragsberechtigt sind die betroffene Person, der Verantwortliche, die oder der Bundesbeauftragte und die Aufsichtsbehörde.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43 BDSG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Ordnungswidrig handelt, wer vorsätzlich oder fahrlässig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entgegen § 30 Absatz 1 ein Auskunftsverlangen nicht richtig behandelt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entgegen § 30 Absatz 2 Satz 1 einen Verbraucher nicht, nicht richtig, nicht vollständig oder nicht rechtzeitig unterrichtet.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Die Ordnungswidrigkeit kann mit einer Geldbuße bis zu fünfzigtausend Euro geahndet werden.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Gegen Behörden und sonstige öffentliche Stellen im Sinne des § 2 Absatz 1 werden keine Geldbußen verhängt.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Eine Meldung nach Artikel 33 der Verordnung (EU) 2016/679 oder eine Benachrichtigung nach Artikel 34 Absatz 1 der Verordnung (EU) 2016/679 darf in einem Verfahren nach dem Gesetz über Ordnungswidrigkeit gegen den Meldepflichtigen oder Benachrichtigenden oder seine in § 52 Absatz 1 der Strafprozessordnung bezeichneten Angehörigen nur mit Zustimmung des Meldepflichtigen oder Benachrichtigenden verwendet werden. </w:t>
      </w:r>
    </w:p>
    <w:p w:rsidR="00AE4043" w:rsidRPr="00AE4043" w:rsidRDefault="00AE4043" w:rsidP="00AE4043">
      <w:pPr>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202a Ausspähen von Daten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unbefugt sich oder einem anderen Zugang zu Daten, die nicht für ihn bestimmt und die gegen unberechtigten Zugang besonders gesichert sind, unter Überwindung der Zugangssicherung verschafft, wird mit Freiheitsstrafe bis zu drei Jahren oder mit Geldstrafe bestraft.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lastRenderedPageBreak/>
        <w:t xml:space="preserve">(2) Daten im Sinne des Absatzes 1 sind nur solche, die elektronisch, magnetisch oder sonst nicht unmittelbar wahrnehmbar gespeichert sind oder übermittelt werden.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202b Abfangen von Daten </w:t>
      </w: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202c Vorbereiten des Ausspähens und Abfangens von Daten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eine Straftat nach § 202a oder § 202b vorbereitet, indem er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Passwörter oder sonstige Sicherungscodes, die den Zugang zu Daten (§ 202a Abs. 2) ermöglichen,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Computerprogramme, deren Zweck die Begehung einer solchen Tat ist, </w:t>
      </w: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herstellt, sich oder einem anderen verschafft, verkauft, einem anderen überlässt, verbreitet oder sonst zugänglich macht, wird mit Freiheitsstrafe bis zu zwei Jahren oder mit Geldstrafe bestraft.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 149 Abs. 2 und 3 gilt entsprechend.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202d Datenhehlerei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Die Strafe darf nicht schwerer sein als die für die Vortat angedrohte Strafe.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Absatz 1 gilt nicht für Handlungen, die ausschließlich der Erfüllung rechtmäßiger dienstlicher oder beruflicher Pflichten dienen. Dazu gehören insbesondere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solche Handlungen von Amtsträgern oder deren Beauftragten, mit denen Daten ausschließlich der Verwertung in einem Besteuerungsverfahren, einem Strafverfahren oder einem Ordnungswidrigkeitenverfahren zugeführt werden sollen, sowie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2. solche beruflichen Handlungen der in § 53 Absatz 1 Satz 1 Nummer 5 der Strafprozessordnung genannten Personen, mit denen Daten entgegengenommen, ausgewertet oder veröffentlicht werden.</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203 Verletzung von Privatgeheimnissen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unbefugt ein fremdes Geheimnis, namentlich ein zum persönlichen Lebensbereich gehörendes Geheimnis oder ein Betriebs- oder Geschäftsgeheimnis, offenbart, das ihm als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Arzt, Zahnarzt, Tierarzt, Apotheker oder Angehörigen eines anderen Heilberufs, der für die Berufsausübung oder die Führung der Berufsbezeichnung eine staatlich geregelte Ausbildung erfordert,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Berufspsychologen mit staatlich anerkannter wissenschaftlicher Abschlussprüfung,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4. Ehe-, Familien-, Erziehungs- oder Jugendberater sowie Berater für Suchtfragen in einer Beratungsstelle, die von einer Behörde oder Körperschaft, Anstalt oder Stiftung des öffentlichen Rechts anerkannt ist,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5. Mitglied oder Beauftragten einer anerkannten Beratungsstelle nach den §§ 3 und 8 des Schwangerschaftskonfliktgesetzes,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6. staatlich anerkanntem Sozialarbeiter oder staatlich anerkanntem Sozialpädagogen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7. Angehörigen eines Unternehmens der privaten Kranken-, Unfall- oder Lebensversicherung oder einer privatärztlichen, steuerberaterlichen oder anwaltlichen Verrechnungsstelle anvertraut worden oder sonst bekanntgeworden ist, wird mit Freiheitsstrafe bis zu einem Jahr oder mit Geldstrafe bestraft.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Ebenso wird bestraft, wer unbefugt ein fremdes Geheimnis, namentlich ein zum persönlichen Lebensbereich gehörendes Geheimnis oder ein Betriebs- oder Geschäftsgeheimnis, offenbart, das ihm als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Amtsträger, </w:t>
      </w: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für den öffentlichen Dienst besonders Verpflichteten,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3. Person, die Aufgaben oder Befugnisse nach dem Personalvertretungsrecht wahrnimmt,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 xml:space="preserve">4. Mitglied eines für ein Gesetzgebungsorgan des Bundes oder eines Landes tätigen Untersuchungsausschusses, sonstigen Ausschusses oder Rates, das nicht selbst Mitglied des Gesetzgebungsorgans ist, oder als Hilfskraft eines solchen Ausschusses oder Rates,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5. öffentlich bestelltem Sachverständigen, der auf die gewissenhafte Erfüllung seiner Obliegenheiten auf Grund eines Gesetzes förmlich verpflichtet worden ist,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6. Person, die auf die gewissenhafte Erfüllung ihrer Geheimhaltungspflicht bei der Durchführung wissenschaftlicher Forschungsvorhaben auf Grund eines Gesetzes förmlich verpflichtet worden ist, 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(2a) (weggefallen)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w:t>
      </w:r>
      <w:r w:rsidRPr="00AE4043">
        <w:rPr>
          <w:rFonts w:eastAsia="Calibri" w:cs="Arial"/>
          <w:color w:val="000000"/>
          <w:szCs w:val="24"/>
          <w:lang w:eastAsia="en-US"/>
        </w:rPr>
        <w:lastRenderedPageBreak/>
        <w:t xml:space="preserve">sonstige mitwirkende Personen, die selbst eine in den Absätzen 1 oder 2 genannte Person sind,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3. nach dem Tod der nach Satz 1 oder nach den Absätzen 1 oder 2 verpflichteten Person ein fremdes Geheimnis unbefugt offenbart, das er von dem Verstorbenen erfahren oder aus dessen Nachlass erlangt hat.</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(5) Die Absätze 1 bis 4 sind auch anzuwenden, wenn der Täter das fremde Geheimnis nach dem Tod des Betroffenen unbefugt offenbart.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(6) Handelt der Täter gegen Entgelt oder in der Absicht, sich oder einen anderen zu bereichern oder einen anderen zu schädigen, so ist die Strafe Freiheitsstrafe bis zu zwei Jahren oder Geldstrafe. </w:t>
      </w:r>
    </w:p>
    <w:p w:rsidR="00926D2D" w:rsidRPr="00074278" w:rsidRDefault="00926D2D" w:rsidP="00C3250E">
      <w:pPr>
        <w:autoSpaceDE w:val="0"/>
        <w:autoSpaceDN w:val="0"/>
        <w:adjustRightInd w:val="0"/>
        <w:jc w:val="both"/>
        <w:rPr>
          <w:rFonts w:cs="Arial"/>
          <w:sz w:val="20"/>
          <w:szCs w:val="22"/>
        </w:rPr>
      </w:pPr>
    </w:p>
    <w:sectPr w:rsidR="00926D2D" w:rsidRPr="00074278" w:rsidSect="003535EF">
      <w:headerReference w:type="default" r:id="rId7"/>
      <w:foot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39999"/>
      <w:docPartObj>
        <w:docPartGallery w:val="Page Numbers (Bottom of Page)"/>
        <w:docPartUnique/>
      </w:docPartObj>
    </w:sdtPr>
    <w:sdtEndPr/>
    <w:sdtContent>
      <w:p w:rsidR="00C3250E" w:rsidRDefault="00C3250E">
        <w:pPr>
          <w:pStyle w:val="Fuzeile"/>
          <w:jc w:val="right"/>
        </w:pPr>
        <w:r>
          <w:fldChar w:fldCharType="begin"/>
        </w:r>
        <w:r>
          <w:instrText>PAGE   \* MERGEFORMAT</w:instrText>
        </w:r>
        <w:r>
          <w:fldChar w:fldCharType="separate"/>
        </w:r>
        <w:r>
          <w:rPr>
            <w:noProof/>
          </w:rPr>
          <w:t>2</w:t>
        </w:r>
        <w:r>
          <w:fldChar w:fldCharType="end"/>
        </w:r>
      </w:p>
    </w:sdtContent>
  </w:sdt>
  <w:p w:rsidR="00C3250E" w:rsidRDefault="00C32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548AC"/>
    <w:multiLevelType w:val="multilevel"/>
    <w:tmpl w:val="80AA75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2" w15:restartNumberingAfterBreak="0">
    <w:nsid w:val="65EE1E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64"/>
    <w:rsid w:val="000674E3"/>
    <w:rsid w:val="00074278"/>
    <w:rsid w:val="00075DD8"/>
    <w:rsid w:val="00181BE8"/>
    <w:rsid w:val="001A0626"/>
    <w:rsid w:val="0024723A"/>
    <w:rsid w:val="002536FE"/>
    <w:rsid w:val="00320E34"/>
    <w:rsid w:val="003535EF"/>
    <w:rsid w:val="003971F5"/>
    <w:rsid w:val="003F3D3A"/>
    <w:rsid w:val="00483CDA"/>
    <w:rsid w:val="005A59FF"/>
    <w:rsid w:val="005B0CE3"/>
    <w:rsid w:val="00641C2C"/>
    <w:rsid w:val="00664939"/>
    <w:rsid w:val="00702D3A"/>
    <w:rsid w:val="00784558"/>
    <w:rsid w:val="008549D0"/>
    <w:rsid w:val="00873F9C"/>
    <w:rsid w:val="009160B8"/>
    <w:rsid w:val="00926D2D"/>
    <w:rsid w:val="00942CCD"/>
    <w:rsid w:val="00945167"/>
    <w:rsid w:val="009B13DA"/>
    <w:rsid w:val="009C7096"/>
    <w:rsid w:val="00A36730"/>
    <w:rsid w:val="00A63EB9"/>
    <w:rsid w:val="00AC3335"/>
    <w:rsid w:val="00AC7BDB"/>
    <w:rsid w:val="00AE4043"/>
    <w:rsid w:val="00AF006E"/>
    <w:rsid w:val="00B71A66"/>
    <w:rsid w:val="00BF1789"/>
    <w:rsid w:val="00C3250E"/>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6615F6E-B041-465B-BD68-1825630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12963</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3</cp:revision>
  <cp:lastPrinted>2017-08-30T08:04:00Z</cp:lastPrinted>
  <dcterms:created xsi:type="dcterms:W3CDTF">2019-05-17T09:24:00Z</dcterms:created>
  <dcterms:modified xsi:type="dcterms:W3CDTF">2019-10-09T08:26:00Z</dcterms:modified>
</cp:coreProperties>
</file>